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C22A" w14:textId="77777777" w:rsidR="001A4284" w:rsidRDefault="001A4284" w:rsidP="001A4284">
      <w:pPr>
        <w:jc w:val="center"/>
        <w:rPr>
          <w:b/>
        </w:rPr>
      </w:pPr>
    </w:p>
    <w:p w14:paraId="31F48F83" w14:textId="06EFA6DF" w:rsidR="001A4284" w:rsidRPr="00E90C8A" w:rsidRDefault="00E90C8A" w:rsidP="00E90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New Hampshire Capital Region Habitat for Humanity (CRHFH)</w:t>
      </w:r>
      <w:r w:rsidR="001A4284" w:rsidRPr="00E90C8A">
        <w:rPr>
          <w:rFonts w:ascii="Arial" w:hAnsi="Arial" w:cs="Arial"/>
        </w:rPr>
        <w:t xml:space="preserve"> is an affiliate of Habitat for Humanity International, an ecumenical, Christian housing ministry that seeks to eliminate poverty housing around the world.</w:t>
      </w:r>
      <w:r>
        <w:rPr>
          <w:rFonts w:ascii="Arial" w:hAnsi="Arial" w:cs="Arial"/>
        </w:rPr>
        <w:t xml:space="preserve"> </w:t>
      </w:r>
      <w:r w:rsidR="001A4284" w:rsidRPr="00E90C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Our ministry includes a focus to help existing low-income </w:t>
      </w:r>
      <w:r w:rsidR="001A4284" w:rsidRPr="00E90C8A">
        <w:rPr>
          <w:rFonts w:ascii="Arial" w:hAnsi="Arial" w:cs="Arial"/>
        </w:rPr>
        <w:t xml:space="preserve">homeowners in need of help with </w:t>
      </w:r>
      <w:r>
        <w:rPr>
          <w:rFonts w:ascii="Arial" w:hAnsi="Arial" w:cs="Arial"/>
        </w:rPr>
        <w:t>critical</w:t>
      </w:r>
      <w:r w:rsidR="001A4284" w:rsidRPr="00E90C8A">
        <w:rPr>
          <w:rFonts w:ascii="Arial" w:hAnsi="Arial" w:cs="Arial"/>
        </w:rPr>
        <w:t xml:space="preserve"> home repair project</w:t>
      </w:r>
      <w:r>
        <w:rPr>
          <w:rFonts w:ascii="Arial" w:hAnsi="Arial" w:cs="Arial"/>
        </w:rPr>
        <w:t>s</w:t>
      </w:r>
      <w:r w:rsidR="001A4284" w:rsidRPr="00E90C8A">
        <w:rPr>
          <w:rFonts w:ascii="Arial" w:hAnsi="Arial" w:cs="Arial"/>
        </w:rPr>
        <w:t xml:space="preserve">. </w:t>
      </w:r>
    </w:p>
    <w:p w14:paraId="0E326EA8" w14:textId="77777777" w:rsidR="001A4284" w:rsidRPr="00E90C8A" w:rsidRDefault="001A4284" w:rsidP="001A4284">
      <w:pPr>
        <w:rPr>
          <w:rFonts w:ascii="Arial" w:hAnsi="Arial" w:cs="Arial"/>
        </w:rPr>
      </w:pPr>
    </w:p>
    <w:p w14:paraId="73C35428" w14:textId="0BCC99F1" w:rsidR="00E90C8A" w:rsidRDefault="00BD7ED5" w:rsidP="00E90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this repair program, t</w:t>
      </w:r>
      <w:r w:rsidR="00E90C8A">
        <w:rPr>
          <w:rFonts w:ascii="Arial" w:hAnsi="Arial" w:cs="Arial"/>
        </w:rPr>
        <w:t>he CRHFH partners with the New Hampshire Housing Finance Authority</w:t>
      </w:r>
      <w:r w:rsidR="0045503F">
        <w:rPr>
          <w:rFonts w:ascii="Arial" w:hAnsi="Arial" w:cs="Arial"/>
        </w:rPr>
        <w:t xml:space="preserve"> (NHHFA)</w:t>
      </w:r>
      <w:r w:rsidR="00E90C8A">
        <w:rPr>
          <w:rFonts w:ascii="Arial" w:hAnsi="Arial" w:cs="Arial"/>
        </w:rPr>
        <w:t xml:space="preserve">, which loans funds to homeowners, using the equity in their home as collateral.  These loans have no principal or interest </w:t>
      </w:r>
      <w:proofErr w:type="gramStart"/>
      <w:r w:rsidR="00E90C8A">
        <w:rPr>
          <w:rFonts w:ascii="Arial" w:hAnsi="Arial" w:cs="Arial"/>
        </w:rPr>
        <w:t>payment, and</w:t>
      </w:r>
      <w:proofErr w:type="gramEnd"/>
      <w:r w:rsidR="00E90C8A">
        <w:rPr>
          <w:rFonts w:ascii="Arial" w:hAnsi="Arial" w:cs="Arial"/>
        </w:rPr>
        <w:t xml:space="preserve"> are payable only when the home is no longer the primary residence, or if the first mortgage is refinanced.</w:t>
      </w:r>
    </w:p>
    <w:p w14:paraId="06528D00" w14:textId="77777777" w:rsidR="00E90C8A" w:rsidRDefault="00E90C8A" w:rsidP="00E90C8A">
      <w:pPr>
        <w:jc w:val="both"/>
        <w:rPr>
          <w:rFonts w:ascii="Arial" w:hAnsi="Arial" w:cs="Arial"/>
        </w:rPr>
      </w:pPr>
    </w:p>
    <w:p w14:paraId="39FE445C" w14:textId="1D098D94" w:rsidR="001A4284" w:rsidRPr="00E90C8A" w:rsidRDefault="001A4284" w:rsidP="00E90C8A">
      <w:pPr>
        <w:jc w:val="both"/>
        <w:rPr>
          <w:rFonts w:ascii="Arial" w:hAnsi="Arial" w:cs="Arial"/>
        </w:rPr>
      </w:pPr>
      <w:r w:rsidRPr="00E90C8A">
        <w:rPr>
          <w:rFonts w:ascii="Arial" w:hAnsi="Arial" w:cs="Arial"/>
        </w:rPr>
        <w:t xml:space="preserve">All work is done to Habitat standards and local codes where the goal is simple, decent, quality housing. </w:t>
      </w:r>
      <w:r w:rsidR="00E90C8A">
        <w:rPr>
          <w:rFonts w:ascii="Arial" w:hAnsi="Arial" w:cs="Arial"/>
        </w:rPr>
        <w:t xml:space="preserve"> </w:t>
      </w:r>
      <w:r w:rsidRPr="00E90C8A">
        <w:rPr>
          <w:rFonts w:ascii="Arial" w:hAnsi="Arial" w:cs="Arial"/>
        </w:rPr>
        <w:t xml:space="preserve">We view our work not as a handout, but as a partnership with homeowners. </w:t>
      </w:r>
      <w:r w:rsidR="00E90C8A">
        <w:rPr>
          <w:rFonts w:ascii="Arial" w:hAnsi="Arial" w:cs="Arial"/>
        </w:rPr>
        <w:t xml:space="preserve"> </w:t>
      </w:r>
      <w:r w:rsidRPr="00E90C8A">
        <w:rPr>
          <w:rFonts w:ascii="Arial" w:hAnsi="Arial" w:cs="Arial"/>
        </w:rPr>
        <w:t xml:space="preserve">Therefore, we ask for all those we serve to contribute “sweat equity” to the work effort. </w:t>
      </w:r>
    </w:p>
    <w:p w14:paraId="6A913E9B" w14:textId="10C49EE3" w:rsidR="001A4284" w:rsidRDefault="001A4284" w:rsidP="001A4284">
      <w:pPr>
        <w:rPr>
          <w:rFonts w:ascii="Arial" w:hAnsi="Arial" w:cs="Arial"/>
          <w:b/>
        </w:rPr>
      </w:pPr>
    </w:p>
    <w:p w14:paraId="62102C40" w14:textId="77777777" w:rsidR="00BD7ED5" w:rsidRPr="00E90C8A" w:rsidRDefault="00BD7ED5" w:rsidP="001A4284">
      <w:pPr>
        <w:rPr>
          <w:rFonts w:ascii="Arial" w:hAnsi="Arial" w:cs="Arial"/>
          <w:b/>
        </w:rPr>
      </w:pPr>
    </w:p>
    <w:p w14:paraId="611BC18F" w14:textId="63F1A263" w:rsidR="001A4284" w:rsidRPr="00BD7ED5" w:rsidRDefault="001A4284" w:rsidP="001A4284">
      <w:pPr>
        <w:rPr>
          <w:rFonts w:ascii="Arial" w:hAnsi="Arial" w:cs="Arial"/>
          <w:b/>
          <w:u w:val="single"/>
        </w:rPr>
      </w:pPr>
      <w:r w:rsidRPr="00BD7ED5">
        <w:rPr>
          <w:rFonts w:ascii="Arial" w:hAnsi="Arial" w:cs="Arial"/>
          <w:b/>
          <w:u w:val="single"/>
        </w:rPr>
        <w:t>Qualification Guidelines</w:t>
      </w:r>
    </w:p>
    <w:p w14:paraId="47EF945E" w14:textId="77777777" w:rsidR="0045503F" w:rsidRPr="00E90C8A" w:rsidRDefault="0045503F" w:rsidP="001A4284">
      <w:pPr>
        <w:rPr>
          <w:rFonts w:ascii="Arial" w:hAnsi="Arial" w:cs="Arial"/>
          <w:b/>
        </w:rPr>
      </w:pPr>
    </w:p>
    <w:p w14:paraId="00DD7175" w14:textId="2D15235D" w:rsidR="001A4284" w:rsidRPr="00E90C8A" w:rsidRDefault="001A4284" w:rsidP="0045503F">
      <w:pPr>
        <w:pStyle w:val="ColorfulList-Accent11"/>
        <w:numPr>
          <w:ilvl w:val="0"/>
          <w:numId w:val="1"/>
        </w:numPr>
        <w:ind w:right="288"/>
        <w:jc w:val="both"/>
        <w:rPr>
          <w:rFonts w:ascii="Arial" w:hAnsi="Arial" w:cs="Arial"/>
        </w:rPr>
      </w:pPr>
      <w:r w:rsidRPr="00E90C8A">
        <w:rPr>
          <w:rFonts w:ascii="Arial" w:hAnsi="Arial" w:cs="Arial"/>
          <w:b/>
        </w:rPr>
        <w:t>Type of Project</w:t>
      </w:r>
      <w:r w:rsidRPr="00E90C8A">
        <w:rPr>
          <w:rFonts w:ascii="Arial" w:hAnsi="Arial" w:cs="Arial"/>
        </w:rPr>
        <w:t xml:space="preserve">: The project should </w:t>
      </w:r>
      <w:r w:rsidR="00BD7ED5">
        <w:rPr>
          <w:rFonts w:ascii="Arial" w:hAnsi="Arial" w:cs="Arial"/>
        </w:rPr>
        <w:t xml:space="preserve">include </w:t>
      </w:r>
      <w:r w:rsidRPr="00E90C8A">
        <w:rPr>
          <w:rFonts w:ascii="Arial" w:hAnsi="Arial" w:cs="Arial"/>
        </w:rPr>
        <w:t>a repair</w:t>
      </w:r>
      <w:r w:rsidR="00E90C8A">
        <w:rPr>
          <w:rFonts w:ascii="Arial" w:hAnsi="Arial" w:cs="Arial"/>
        </w:rPr>
        <w:t xml:space="preserve"> that typically requires less than 200 man-hours to complete, and</w:t>
      </w:r>
      <w:r w:rsidRPr="00E90C8A">
        <w:rPr>
          <w:rFonts w:ascii="Arial" w:hAnsi="Arial" w:cs="Arial"/>
        </w:rPr>
        <w:t xml:space="preserve"> </w:t>
      </w:r>
      <w:r w:rsidR="00BD7ED5">
        <w:rPr>
          <w:rFonts w:ascii="Arial" w:hAnsi="Arial" w:cs="Arial"/>
        </w:rPr>
        <w:t xml:space="preserve">is </w:t>
      </w:r>
      <w:r w:rsidRPr="00E90C8A">
        <w:rPr>
          <w:rFonts w:ascii="Arial" w:hAnsi="Arial" w:cs="Arial"/>
        </w:rPr>
        <w:t xml:space="preserve">related to weatherization, health and safety, </w:t>
      </w:r>
      <w:r w:rsidR="00780AB6">
        <w:rPr>
          <w:rFonts w:ascii="Arial" w:hAnsi="Arial" w:cs="Arial"/>
        </w:rPr>
        <w:t xml:space="preserve">basic dignity, </w:t>
      </w:r>
      <w:r w:rsidRPr="00E90C8A">
        <w:rPr>
          <w:rFonts w:ascii="Arial" w:hAnsi="Arial" w:cs="Arial"/>
        </w:rPr>
        <w:t>or handicap</w:t>
      </w:r>
      <w:r w:rsidR="00BD7ED5">
        <w:rPr>
          <w:rFonts w:ascii="Arial" w:hAnsi="Arial" w:cs="Arial"/>
        </w:rPr>
        <w:t>ped</w:t>
      </w:r>
      <w:r w:rsidRPr="00E90C8A">
        <w:rPr>
          <w:rFonts w:ascii="Arial" w:hAnsi="Arial" w:cs="Arial"/>
        </w:rPr>
        <w:t xml:space="preserve"> accessibility. </w:t>
      </w:r>
      <w:r w:rsidR="00E90C8A">
        <w:rPr>
          <w:rFonts w:ascii="Arial" w:hAnsi="Arial" w:cs="Arial"/>
        </w:rPr>
        <w:t xml:space="preserve"> </w:t>
      </w:r>
      <w:r w:rsidRPr="00E90C8A">
        <w:rPr>
          <w:rFonts w:ascii="Arial" w:hAnsi="Arial" w:cs="Arial"/>
        </w:rPr>
        <w:t xml:space="preserve">The overall condition of the home must be sound enough to justify the repair cost. </w:t>
      </w:r>
      <w:r w:rsidR="00E90C8A">
        <w:rPr>
          <w:rFonts w:ascii="Arial" w:hAnsi="Arial" w:cs="Arial"/>
        </w:rPr>
        <w:t xml:space="preserve"> Typical repairs include roof replacement,</w:t>
      </w:r>
      <w:r w:rsidR="0045503F">
        <w:rPr>
          <w:rFonts w:ascii="Arial" w:hAnsi="Arial" w:cs="Arial"/>
        </w:rPr>
        <w:t xml:space="preserve"> new windows or doors, </w:t>
      </w:r>
      <w:r w:rsidR="00780AB6">
        <w:rPr>
          <w:rFonts w:ascii="Arial" w:hAnsi="Arial" w:cs="Arial"/>
        </w:rPr>
        <w:t xml:space="preserve">installation of a handicapped access ramp, </w:t>
      </w:r>
      <w:r w:rsidR="0045503F">
        <w:rPr>
          <w:rFonts w:ascii="Arial" w:hAnsi="Arial" w:cs="Arial"/>
        </w:rPr>
        <w:t xml:space="preserve">repair of sagging floors, </w:t>
      </w:r>
      <w:r w:rsidR="00BD7ED5">
        <w:rPr>
          <w:rFonts w:ascii="Arial" w:hAnsi="Arial" w:cs="Arial"/>
        </w:rPr>
        <w:t>or</w:t>
      </w:r>
      <w:r w:rsidR="0045503F">
        <w:rPr>
          <w:rFonts w:ascii="Arial" w:hAnsi="Arial" w:cs="Arial"/>
        </w:rPr>
        <w:t xml:space="preserve"> replacement of a tub and shower enclosure.</w:t>
      </w:r>
    </w:p>
    <w:p w14:paraId="3D1F2833" w14:textId="77777777" w:rsidR="0045503F" w:rsidRPr="0045503F" w:rsidRDefault="0045503F" w:rsidP="0045503F">
      <w:pPr>
        <w:pStyle w:val="ColorfulList-Accent11"/>
        <w:ind w:right="288"/>
        <w:jc w:val="both"/>
        <w:rPr>
          <w:rFonts w:ascii="Arial" w:hAnsi="Arial" w:cs="Arial"/>
        </w:rPr>
      </w:pPr>
    </w:p>
    <w:p w14:paraId="4A563533" w14:textId="4D1BC346" w:rsidR="001A4284" w:rsidRPr="00E90C8A" w:rsidRDefault="001A4284" w:rsidP="0045503F">
      <w:pPr>
        <w:pStyle w:val="ColorfulList-Accent11"/>
        <w:numPr>
          <w:ilvl w:val="0"/>
          <w:numId w:val="1"/>
        </w:numPr>
        <w:ind w:right="288"/>
        <w:jc w:val="both"/>
        <w:rPr>
          <w:rFonts w:ascii="Arial" w:hAnsi="Arial" w:cs="Arial"/>
        </w:rPr>
      </w:pPr>
      <w:r w:rsidRPr="00E90C8A">
        <w:rPr>
          <w:rFonts w:ascii="Arial" w:hAnsi="Arial" w:cs="Arial"/>
          <w:b/>
        </w:rPr>
        <w:t>Home Ownership</w:t>
      </w:r>
      <w:r w:rsidRPr="00E90C8A">
        <w:rPr>
          <w:rFonts w:ascii="Arial" w:hAnsi="Arial" w:cs="Arial"/>
        </w:rPr>
        <w:t>: The repair is only done on homes owned by the people residing in the residence in need of repair.</w:t>
      </w:r>
    </w:p>
    <w:p w14:paraId="52AC50E8" w14:textId="77777777" w:rsidR="0045503F" w:rsidRPr="0045503F" w:rsidRDefault="0045503F" w:rsidP="0045503F">
      <w:pPr>
        <w:pStyle w:val="ColorfulList-Accent11"/>
        <w:ind w:right="288"/>
        <w:jc w:val="both"/>
        <w:rPr>
          <w:rFonts w:ascii="Arial" w:hAnsi="Arial" w:cs="Arial"/>
        </w:rPr>
      </w:pPr>
    </w:p>
    <w:p w14:paraId="6843B8FF" w14:textId="6F560936" w:rsidR="001A4284" w:rsidRPr="00E90C8A" w:rsidRDefault="001A4284" w:rsidP="0045503F">
      <w:pPr>
        <w:pStyle w:val="ColorfulList-Accent11"/>
        <w:numPr>
          <w:ilvl w:val="0"/>
          <w:numId w:val="1"/>
        </w:numPr>
        <w:ind w:right="288"/>
        <w:jc w:val="both"/>
        <w:rPr>
          <w:rFonts w:ascii="Arial" w:hAnsi="Arial" w:cs="Arial"/>
        </w:rPr>
      </w:pPr>
      <w:r w:rsidRPr="00E90C8A">
        <w:rPr>
          <w:rFonts w:ascii="Arial" w:hAnsi="Arial" w:cs="Arial"/>
          <w:b/>
        </w:rPr>
        <w:t>Homeowners Insurance</w:t>
      </w:r>
      <w:r w:rsidRPr="00E90C8A">
        <w:rPr>
          <w:rFonts w:ascii="Arial" w:hAnsi="Arial" w:cs="Arial"/>
        </w:rPr>
        <w:t>: Homeowners are required to have homeowners’ insurance.</w:t>
      </w:r>
    </w:p>
    <w:p w14:paraId="5CA2B324" w14:textId="77777777" w:rsidR="0045503F" w:rsidRPr="0045503F" w:rsidRDefault="0045503F" w:rsidP="0045503F">
      <w:pPr>
        <w:pStyle w:val="ColorfulList-Accent11"/>
        <w:spacing w:after="360"/>
        <w:ind w:right="288"/>
        <w:jc w:val="both"/>
        <w:rPr>
          <w:rFonts w:ascii="Arial" w:hAnsi="Arial" w:cs="Arial"/>
        </w:rPr>
      </w:pPr>
    </w:p>
    <w:p w14:paraId="091D0148" w14:textId="3C0FD66A" w:rsidR="001A4284" w:rsidRPr="00E90C8A" w:rsidRDefault="001A4284" w:rsidP="0045503F">
      <w:pPr>
        <w:pStyle w:val="ColorfulList-Accent11"/>
        <w:numPr>
          <w:ilvl w:val="0"/>
          <w:numId w:val="1"/>
        </w:numPr>
        <w:spacing w:after="360"/>
        <w:ind w:right="288"/>
        <w:jc w:val="both"/>
        <w:rPr>
          <w:rFonts w:ascii="Arial" w:hAnsi="Arial" w:cs="Arial"/>
        </w:rPr>
      </w:pPr>
      <w:r w:rsidRPr="00E90C8A">
        <w:rPr>
          <w:rFonts w:ascii="Arial" w:hAnsi="Arial" w:cs="Arial"/>
          <w:b/>
        </w:rPr>
        <w:t>Income Eligibility:</w:t>
      </w:r>
      <w:r w:rsidRPr="00E90C8A">
        <w:rPr>
          <w:rFonts w:ascii="Arial" w:hAnsi="Arial" w:cs="Arial"/>
        </w:rPr>
        <w:t xml:space="preserve"> The combined income of all people living in the home must not exceed </w:t>
      </w:r>
      <w:r w:rsidR="0045503F">
        <w:rPr>
          <w:rFonts w:ascii="Arial" w:hAnsi="Arial" w:cs="Arial"/>
        </w:rPr>
        <w:t>6</w:t>
      </w:r>
      <w:r w:rsidRPr="00E90C8A">
        <w:rPr>
          <w:rFonts w:ascii="Arial" w:hAnsi="Arial" w:cs="Arial"/>
        </w:rPr>
        <w:t xml:space="preserve">0% of the median average income for </w:t>
      </w:r>
      <w:r w:rsidR="0045503F">
        <w:rPr>
          <w:rFonts w:ascii="Arial" w:hAnsi="Arial" w:cs="Arial"/>
        </w:rPr>
        <w:t>the Merrimack County</w:t>
      </w:r>
      <w:r w:rsidRPr="00E90C8A">
        <w:rPr>
          <w:rFonts w:ascii="Arial" w:hAnsi="Arial" w:cs="Arial"/>
        </w:rPr>
        <w:t xml:space="preserve">. </w:t>
      </w:r>
    </w:p>
    <w:p w14:paraId="0DBED07A" w14:textId="21E829CC" w:rsidR="0045503F" w:rsidRDefault="0045503F" w:rsidP="0045503F">
      <w:pPr>
        <w:pStyle w:val="ColorfulList-Accent11"/>
        <w:ind w:right="288"/>
        <w:jc w:val="both"/>
        <w:rPr>
          <w:rFonts w:ascii="Arial" w:hAnsi="Arial" w:cs="Arial"/>
        </w:rPr>
      </w:pPr>
    </w:p>
    <w:p w14:paraId="08792A95" w14:textId="77777777" w:rsidR="00780AB6" w:rsidRDefault="00780AB6" w:rsidP="00780AB6">
      <w:pPr>
        <w:pStyle w:val="ColorfulList-Accent11"/>
        <w:spacing w:after="360"/>
        <w:ind w:right="288"/>
        <w:jc w:val="both"/>
        <w:rPr>
          <w:rFonts w:ascii="Arial" w:hAnsi="Arial" w:cs="Arial"/>
          <w:b/>
        </w:rPr>
      </w:pPr>
    </w:p>
    <w:p w14:paraId="2B633886" w14:textId="77777777" w:rsidR="00780AB6" w:rsidRPr="00702CE8" w:rsidRDefault="00780AB6" w:rsidP="00780AB6">
      <w:pPr>
        <w:pStyle w:val="ListParagraph"/>
        <w:rPr>
          <w:rFonts w:ascii="Arial" w:hAnsi="Arial" w:cs="Arial"/>
          <w:b/>
        </w:rPr>
      </w:pPr>
    </w:p>
    <w:p w14:paraId="62983AEB" w14:textId="1EFA6ECB" w:rsidR="00D82FEF" w:rsidRPr="00702CE8" w:rsidRDefault="00D82FEF" w:rsidP="00702CE8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702CE8">
        <w:rPr>
          <w:rFonts w:ascii="Arial" w:hAnsi="Arial" w:cs="Arial"/>
          <w:b/>
        </w:rPr>
        <w:t>Financial Strength</w:t>
      </w:r>
      <w:r w:rsidRPr="00702CE8">
        <w:rPr>
          <w:rFonts w:ascii="Arial" w:hAnsi="Arial" w:cs="Arial"/>
          <w:bCs/>
        </w:rPr>
        <w:t>: Total financial assets owned by the household are limited to $25,000, allowing the CRHFH to serve those families with the greatest need.</w:t>
      </w:r>
    </w:p>
    <w:p w14:paraId="527AA0B7" w14:textId="77777777" w:rsidR="00D82FEF" w:rsidRPr="0045503F" w:rsidRDefault="00D82FEF" w:rsidP="0045503F">
      <w:pPr>
        <w:pStyle w:val="ColorfulList-Accent11"/>
        <w:ind w:right="288"/>
        <w:jc w:val="both"/>
        <w:rPr>
          <w:rFonts w:ascii="Arial" w:hAnsi="Arial" w:cs="Arial"/>
        </w:rPr>
      </w:pPr>
    </w:p>
    <w:p w14:paraId="6122EE2C" w14:textId="0ED85661" w:rsidR="0045503F" w:rsidRPr="00702CE8" w:rsidRDefault="001A4284" w:rsidP="00702CE8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702CE8">
        <w:rPr>
          <w:rFonts w:ascii="Arial" w:hAnsi="Arial" w:cs="Arial"/>
          <w:b/>
        </w:rPr>
        <w:t>Financing the Project</w:t>
      </w:r>
      <w:r w:rsidRPr="00702CE8">
        <w:rPr>
          <w:rFonts w:ascii="Arial" w:hAnsi="Arial" w:cs="Arial"/>
          <w:bCs/>
        </w:rPr>
        <w:t xml:space="preserve">: </w:t>
      </w:r>
      <w:r w:rsidR="0045503F" w:rsidRPr="00702CE8">
        <w:rPr>
          <w:rFonts w:ascii="Arial" w:hAnsi="Arial" w:cs="Arial"/>
          <w:bCs/>
        </w:rPr>
        <w:t xml:space="preserve"> The homeowner will provide the CRHFH with a variety of documents needed to support a loan application to the NHHFA.  The CRHFH will perform </w:t>
      </w:r>
      <w:r w:rsidR="000757AE" w:rsidRPr="00702CE8">
        <w:rPr>
          <w:rFonts w:ascii="Arial" w:hAnsi="Arial" w:cs="Arial"/>
          <w:bCs/>
        </w:rPr>
        <w:t xml:space="preserve">a </w:t>
      </w:r>
      <w:r w:rsidR="0045503F" w:rsidRPr="00702CE8">
        <w:rPr>
          <w:rFonts w:ascii="Arial" w:hAnsi="Arial" w:cs="Arial"/>
          <w:bCs/>
        </w:rPr>
        <w:t xml:space="preserve">desktop appraisal to determine the fair market value of the house.  The combination of an existing first mortgage, and the NHHFA loan must not exceed 97% of the estimated fair market value.  </w:t>
      </w:r>
      <w:r w:rsidR="00702CE8" w:rsidRPr="00702CE8">
        <w:rPr>
          <w:rFonts w:ascii="Arial" w:hAnsi="Arial" w:cs="Arial"/>
          <w:bCs/>
        </w:rPr>
        <w:t>Maximum l</w:t>
      </w:r>
      <w:r w:rsidR="0045503F" w:rsidRPr="00702CE8">
        <w:rPr>
          <w:rFonts w:ascii="Arial" w:hAnsi="Arial" w:cs="Arial"/>
          <w:bCs/>
        </w:rPr>
        <w:t>oan amounts</w:t>
      </w:r>
      <w:r w:rsidR="00702CE8" w:rsidRPr="00702CE8">
        <w:rPr>
          <w:rFonts w:ascii="Arial" w:hAnsi="Arial" w:cs="Arial"/>
          <w:bCs/>
        </w:rPr>
        <w:t xml:space="preserve"> </w:t>
      </w:r>
      <w:proofErr w:type="gramStart"/>
      <w:r w:rsidR="00702CE8" w:rsidRPr="00702CE8">
        <w:rPr>
          <w:rFonts w:ascii="Arial" w:hAnsi="Arial" w:cs="Arial"/>
          <w:bCs/>
        </w:rPr>
        <w:t>is</w:t>
      </w:r>
      <w:proofErr w:type="gramEnd"/>
      <w:r w:rsidR="0045503F" w:rsidRPr="00702CE8">
        <w:rPr>
          <w:rFonts w:ascii="Arial" w:hAnsi="Arial" w:cs="Arial"/>
          <w:bCs/>
        </w:rPr>
        <w:t xml:space="preserve"> $20,000</w:t>
      </w:r>
      <w:r w:rsidR="00702CE8" w:rsidRPr="00702CE8">
        <w:rPr>
          <w:rFonts w:ascii="Arial" w:hAnsi="Arial" w:cs="Arial"/>
          <w:bCs/>
        </w:rPr>
        <w:t>.</w:t>
      </w:r>
    </w:p>
    <w:p w14:paraId="0BC8ED5D" w14:textId="77777777" w:rsidR="00702CE8" w:rsidRPr="00702CE8" w:rsidRDefault="00702CE8" w:rsidP="00702CE8">
      <w:pPr>
        <w:pStyle w:val="ColorfulList-Accent11"/>
        <w:ind w:left="0"/>
        <w:jc w:val="both"/>
        <w:rPr>
          <w:rFonts w:ascii="Arial" w:hAnsi="Arial" w:cs="Arial"/>
          <w:highlight w:val="yellow"/>
        </w:rPr>
      </w:pPr>
    </w:p>
    <w:p w14:paraId="3196C91A" w14:textId="2F834581" w:rsidR="001A4284" w:rsidRPr="00E90C8A" w:rsidRDefault="001A4284" w:rsidP="0045503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02CE8">
        <w:rPr>
          <w:rFonts w:ascii="Arial" w:hAnsi="Arial" w:cs="Arial"/>
          <w:b/>
        </w:rPr>
        <w:t>Willin</w:t>
      </w:r>
      <w:r w:rsidRPr="00E90C8A">
        <w:rPr>
          <w:rFonts w:ascii="Arial" w:hAnsi="Arial" w:cs="Arial"/>
          <w:b/>
        </w:rPr>
        <w:t xml:space="preserve">gness to Partner with </w:t>
      </w:r>
      <w:r w:rsidR="00780AB6">
        <w:rPr>
          <w:rFonts w:ascii="Arial" w:hAnsi="Arial" w:cs="Arial"/>
          <w:b/>
        </w:rPr>
        <w:t>the CRH</w:t>
      </w:r>
      <w:r w:rsidRPr="00E90C8A">
        <w:rPr>
          <w:rFonts w:ascii="Arial" w:hAnsi="Arial" w:cs="Arial"/>
          <w:b/>
        </w:rPr>
        <w:t>FH:</w:t>
      </w:r>
      <w:r w:rsidRPr="00E90C8A">
        <w:rPr>
          <w:rFonts w:ascii="Arial" w:hAnsi="Arial" w:cs="Arial"/>
        </w:rPr>
        <w:t xml:space="preserve"> Homeowners are expected to be partners in their home repair project. </w:t>
      </w:r>
      <w:r w:rsidR="0045503F">
        <w:rPr>
          <w:rFonts w:ascii="Arial" w:hAnsi="Arial" w:cs="Arial"/>
        </w:rPr>
        <w:t xml:space="preserve"> </w:t>
      </w:r>
      <w:r w:rsidR="00BD7ED5">
        <w:rPr>
          <w:rFonts w:ascii="Arial" w:hAnsi="Arial" w:cs="Arial"/>
        </w:rPr>
        <w:t>A</w:t>
      </w:r>
      <w:r w:rsidRPr="00E90C8A">
        <w:rPr>
          <w:rFonts w:ascii="Arial" w:hAnsi="Arial" w:cs="Arial"/>
        </w:rPr>
        <w:t xml:space="preserve"> designated number of sweat equity hours will be established that the homeowner is asked to put towards the project.</w:t>
      </w:r>
    </w:p>
    <w:p w14:paraId="00ADA771" w14:textId="04D38CC1" w:rsidR="001A4284" w:rsidRDefault="001A4284" w:rsidP="001A4284">
      <w:pPr>
        <w:ind w:left="360"/>
        <w:rPr>
          <w:rFonts w:ascii="Arial" w:hAnsi="Arial" w:cs="Arial"/>
        </w:rPr>
      </w:pPr>
    </w:p>
    <w:p w14:paraId="42CB6A95" w14:textId="77777777" w:rsidR="00BD7ED5" w:rsidRPr="00E90C8A" w:rsidRDefault="00BD7ED5" w:rsidP="001A4284">
      <w:pPr>
        <w:ind w:left="360"/>
        <w:rPr>
          <w:rFonts w:ascii="Arial" w:hAnsi="Arial" w:cs="Arial"/>
        </w:rPr>
      </w:pPr>
    </w:p>
    <w:p w14:paraId="20FD47FC" w14:textId="77777777" w:rsidR="001A4284" w:rsidRPr="00BD7ED5" w:rsidRDefault="001A4284" w:rsidP="001A4284">
      <w:pPr>
        <w:rPr>
          <w:rFonts w:ascii="Arial" w:hAnsi="Arial" w:cs="Arial"/>
          <w:b/>
          <w:u w:val="single"/>
        </w:rPr>
      </w:pPr>
      <w:r w:rsidRPr="00BD7ED5">
        <w:rPr>
          <w:rFonts w:ascii="Arial" w:hAnsi="Arial" w:cs="Arial"/>
          <w:b/>
          <w:u w:val="single"/>
        </w:rPr>
        <w:t>Application Process</w:t>
      </w:r>
    </w:p>
    <w:p w14:paraId="50B4FDD7" w14:textId="77777777" w:rsidR="0045503F" w:rsidRDefault="0045503F" w:rsidP="00BD7ED5">
      <w:pPr>
        <w:pStyle w:val="ColorfulList-Accent11"/>
        <w:rPr>
          <w:rFonts w:ascii="Arial" w:hAnsi="Arial" w:cs="Arial"/>
        </w:rPr>
      </w:pPr>
    </w:p>
    <w:p w14:paraId="2FBF4F4A" w14:textId="196ECF39" w:rsidR="001A4284" w:rsidRPr="00E90C8A" w:rsidRDefault="001A4284" w:rsidP="00BD7ED5">
      <w:pPr>
        <w:pStyle w:val="ColorfulList-Accent11"/>
        <w:numPr>
          <w:ilvl w:val="0"/>
          <w:numId w:val="2"/>
        </w:numPr>
        <w:jc w:val="both"/>
        <w:rPr>
          <w:rFonts w:ascii="Arial" w:hAnsi="Arial" w:cs="Arial"/>
        </w:rPr>
      </w:pPr>
      <w:r w:rsidRPr="00E90C8A">
        <w:rPr>
          <w:rFonts w:ascii="Arial" w:hAnsi="Arial" w:cs="Arial"/>
        </w:rPr>
        <w:t xml:space="preserve">The Application for Home Repair, Proof of Income, copy of Homeowner’s Insurance and Proof of Home Ownership will be submitted to </w:t>
      </w:r>
      <w:r w:rsidR="00BD7ED5">
        <w:rPr>
          <w:rFonts w:ascii="Arial" w:hAnsi="Arial" w:cs="Arial"/>
        </w:rPr>
        <w:t>the CRHFH</w:t>
      </w:r>
      <w:r w:rsidRPr="00E90C8A">
        <w:rPr>
          <w:rFonts w:ascii="Arial" w:hAnsi="Arial" w:cs="Arial"/>
        </w:rPr>
        <w:t>.</w:t>
      </w:r>
    </w:p>
    <w:p w14:paraId="6AF9E795" w14:textId="77777777" w:rsidR="0045503F" w:rsidRDefault="0045503F" w:rsidP="00BD7ED5">
      <w:pPr>
        <w:pStyle w:val="ColorfulList-Accent11"/>
        <w:rPr>
          <w:rFonts w:ascii="Arial" w:hAnsi="Arial" w:cs="Arial"/>
        </w:rPr>
      </w:pPr>
    </w:p>
    <w:p w14:paraId="59518676" w14:textId="346FC570" w:rsidR="001A4284" w:rsidRPr="00E90C8A" w:rsidRDefault="001A4284" w:rsidP="00BD7ED5">
      <w:pPr>
        <w:pStyle w:val="ColorfulList-Accent11"/>
        <w:numPr>
          <w:ilvl w:val="0"/>
          <w:numId w:val="2"/>
        </w:numPr>
        <w:jc w:val="both"/>
        <w:rPr>
          <w:rFonts w:ascii="Arial" w:hAnsi="Arial" w:cs="Arial"/>
        </w:rPr>
      </w:pPr>
      <w:r w:rsidRPr="00E90C8A">
        <w:rPr>
          <w:rFonts w:ascii="Arial" w:hAnsi="Arial" w:cs="Arial"/>
        </w:rPr>
        <w:t>If the application is satisfactory and meets the qualifications</w:t>
      </w:r>
      <w:r w:rsidR="00BD7ED5">
        <w:rPr>
          <w:rFonts w:ascii="Arial" w:hAnsi="Arial" w:cs="Arial"/>
        </w:rPr>
        <w:t>,</w:t>
      </w:r>
      <w:r w:rsidRPr="00E90C8A">
        <w:rPr>
          <w:rFonts w:ascii="Arial" w:hAnsi="Arial" w:cs="Arial"/>
        </w:rPr>
        <w:t xml:space="preserve"> a visit to the home will be scheduled to determine the overall scope of the project. </w:t>
      </w:r>
    </w:p>
    <w:p w14:paraId="0C173268" w14:textId="77777777" w:rsidR="0045503F" w:rsidRDefault="0045503F" w:rsidP="00BD7ED5">
      <w:pPr>
        <w:pStyle w:val="ColorfulList-Accent11"/>
        <w:rPr>
          <w:rFonts w:ascii="Arial" w:hAnsi="Arial" w:cs="Arial"/>
        </w:rPr>
      </w:pPr>
    </w:p>
    <w:p w14:paraId="27A04462" w14:textId="375AFA23" w:rsidR="001A4284" w:rsidRPr="00E90C8A" w:rsidRDefault="001A4284" w:rsidP="00BD7ED5">
      <w:pPr>
        <w:pStyle w:val="ColorfulList-Accent11"/>
        <w:numPr>
          <w:ilvl w:val="0"/>
          <w:numId w:val="2"/>
        </w:numPr>
        <w:jc w:val="both"/>
        <w:rPr>
          <w:rFonts w:ascii="Arial" w:hAnsi="Arial" w:cs="Arial"/>
        </w:rPr>
      </w:pPr>
      <w:r w:rsidRPr="00E90C8A">
        <w:rPr>
          <w:rFonts w:ascii="Arial" w:hAnsi="Arial" w:cs="Arial"/>
        </w:rPr>
        <w:t>Following the home site visit</w:t>
      </w:r>
      <w:r w:rsidR="00BD7ED5">
        <w:rPr>
          <w:rFonts w:ascii="Arial" w:hAnsi="Arial" w:cs="Arial"/>
        </w:rPr>
        <w:t>,</w:t>
      </w:r>
      <w:r w:rsidRPr="00E90C8A">
        <w:rPr>
          <w:rFonts w:ascii="Arial" w:hAnsi="Arial" w:cs="Arial"/>
        </w:rPr>
        <w:t xml:space="preserve"> a recommendation will be made to </w:t>
      </w:r>
      <w:r w:rsidR="00BD7ED5">
        <w:rPr>
          <w:rFonts w:ascii="Arial" w:hAnsi="Arial" w:cs="Arial"/>
        </w:rPr>
        <w:t>the CRHFH</w:t>
      </w:r>
      <w:r w:rsidRPr="00E90C8A">
        <w:rPr>
          <w:rFonts w:ascii="Arial" w:hAnsi="Arial" w:cs="Arial"/>
        </w:rPr>
        <w:t xml:space="preserve"> Board of Director</w:t>
      </w:r>
      <w:r w:rsidR="00BD7ED5">
        <w:rPr>
          <w:rFonts w:ascii="Arial" w:hAnsi="Arial" w:cs="Arial"/>
        </w:rPr>
        <w:t>s</w:t>
      </w:r>
      <w:r w:rsidRPr="00E90C8A">
        <w:rPr>
          <w:rFonts w:ascii="Arial" w:hAnsi="Arial" w:cs="Arial"/>
        </w:rPr>
        <w:t xml:space="preserve">. </w:t>
      </w:r>
    </w:p>
    <w:p w14:paraId="124268F0" w14:textId="77777777" w:rsidR="0045503F" w:rsidRDefault="0045503F" w:rsidP="00BD7ED5">
      <w:pPr>
        <w:pStyle w:val="ColorfulList-Accent11"/>
        <w:rPr>
          <w:rFonts w:ascii="Arial" w:hAnsi="Arial" w:cs="Arial"/>
        </w:rPr>
      </w:pPr>
    </w:p>
    <w:p w14:paraId="4A6C27C9" w14:textId="68A4920A" w:rsidR="001A4284" w:rsidRPr="00E90C8A" w:rsidRDefault="00BD7ED5" w:rsidP="00BD7ED5">
      <w:pPr>
        <w:pStyle w:val="ColorfulList-Accent11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the application is approved, the applicant will be asked to provide loan documentation for the NHHFA </w:t>
      </w:r>
      <w:proofErr w:type="gramStart"/>
      <w:r>
        <w:rPr>
          <w:rFonts w:ascii="Arial" w:hAnsi="Arial" w:cs="Arial"/>
        </w:rPr>
        <w:t>loan</w:t>
      </w:r>
      <w:proofErr w:type="gramEnd"/>
      <w:r>
        <w:rPr>
          <w:rFonts w:ascii="Arial" w:hAnsi="Arial" w:cs="Arial"/>
        </w:rPr>
        <w:t xml:space="preserve"> and an estimated project completion date will be assigned</w:t>
      </w:r>
      <w:r w:rsidR="001A4284" w:rsidRPr="00E90C8A">
        <w:rPr>
          <w:rFonts w:ascii="Arial" w:hAnsi="Arial" w:cs="Arial"/>
        </w:rPr>
        <w:t>.</w:t>
      </w:r>
    </w:p>
    <w:p w14:paraId="58104FD5" w14:textId="77777777" w:rsidR="00BD7ED5" w:rsidRPr="00E90C8A" w:rsidRDefault="00BD7ED5" w:rsidP="001A4284">
      <w:pPr>
        <w:rPr>
          <w:rFonts w:ascii="Arial" w:hAnsi="Arial" w:cs="Arial"/>
        </w:rPr>
      </w:pPr>
    </w:p>
    <w:p w14:paraId="3CFEAD32" w14:textId="77777777" w:rsidR="001A4284" w:rsidRPr="00BD7ED5" w:rsidRDefault="001A4284" w:rsidP="001A4284">
      <w:pPr>
        <w:rPr>
          <w:rFonts w:ascii="Arial" w:hAnsi="Arial" w:cs="Arial"/>
          <w:b/>
          <w:u w:val="single"/>
        </w:rPr>
      </w:pPr>
      <w:r w:rsidRPr="00BD7ED5">
        <w:rPr>
          <w:rFonts w:ascii="Arial" w:hAnsi="Arial" w:cs="Arial"/>
          <w:b/>
          <w:u w:val="single"/>
        </w:rPr>
        <w:t>Guidelines: Construction Planning and Execution</w:t>
      </w:r>
    </w:p>
    <w:p w14:paraId="2B1B2880" w14:textId="77777777" w:rsidR="0045503F" w:rsidRDefault="0045503F" w:rsidP="00BD7ED5">
      <w:pPr>
        <w:pStyle w:val="ColorfulList-Accent11"/>
        <w:rPr>
          <w:rFonts w:ascii="Arial" w:hAnsi="Arial" w:cs="Arial"/>
        </w:rPr>
      </w:pPr>
    </w:p>
    <w:p w14:paraId="11472C36" w14:textId="5A0E36A2" w:rsidR="001A4284" w:rsidRPr="00E90C8A" w:rsidRDefault="00BD7ED5" w:rsidP="00BD7ED5">
      <w:pPr>
        <w:pStyle w:val="ColorfulList-Accent11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While the CRHFH strives to perform all work using volunteer labor, some work may require third party contractors. </w:t>
      </w:r>
      <w:r w:rsidRPr="00E90C8A">
        <w:rPr>
          <w:rFonts w:ascii="Arial" w:hAnsi="Arial" w:cs="Arial"/>
        </w:rPr>
        <w:t xml:space="preserve"> Volunteer labor will be free. </w:t>
      </w:r>
      <w:r>
        <w:rPr>
          <w:rFonts w:ascii="Arial" w:hAnsi="Arial" w:cs="Arial"/>
        </w:rPr>
        <w:t xml:space="preserve"> </w:t>
      </w:r>
      <w:r w:rsidRPr="00E90C8A">
        <w:rPr>
          <w:rFonts w:ascii="Arial" w:hAnsi="Arial" w:cs="Arial"/>
        </w:rPr>
        <w:t xml:space="preserve">No administration fee will be charged. </w:t>
      </w:r>
      <w:r>
        <w:rPr>
          <w:rFonts w:ascii="Arial" w:hAnsi="Arial" w:cs="Arial"/>
        </w:rPr>
        <w:t xml:space="preserve"> The homeowner must waive the CRHFH from any claim for workmanship quality or consequential damage during the performance of the project</w:t>
      </w:r>
      <w:r w:rsidR="001A4284" w:rsidRPr="00E90C8A">
        <w:rPr>
          <w:rFonts w:ascii="Arial" w:hAnsi="Arial" w:cs="Arial"/>
        </w:rPr>
        <w:t>.</w:t>
      </w:r>
    </w:p>
    <w:p w14:paraId="6F719D32" w14:textId="6E52DDB5" w:rsidR="0045503F" w:rsidRDefault="0045503F" w:rsidP="00BD7ED5">
      <w:pPr>
        <w:pStyle w:val="ColorfulList-Accent11"/>
        <w:rPr>
          <w:rFonts w:ascii="Arial" w:hAnsi="Arial" w:cs="Arial"/>
        </w:rPr>
      </w:pPr>
    </w:p>
    <w:p w14:paraId="7C10686E" w14:textId="77777777" w:rsidR="00780AB6" w:rsidRDefault="00780AB6" w:rsidP="00BD7ED5">
      <w:pPr>
        <w:pStyle w:val="ColorfulList-Accent11"/>
        <w:rPr>
          <w:rFonts w:ascii="Arial" w:hAnsi="Arial" w:cs="Arial"/>
        </w:rPr>
      </w:pPr>
    </w:p>
    <w:p w14:paraId="7277CD4F" w14:textId="59AD477E" w:rsidR="001A4284" w:rsidRPr="00E90C8A" w:rsidRDefault="001A4284" w:rsidP="00BD7ED5">
      <w:pPr>
        <w:pStyle w:val="ColorfulList-Accent11"/>
        <w:numPr>
          <w:ilvl w:val="0"/>
          <w:numId w:val="5"/>
        </w:numPr>
        <w:jc w:val="both"/>
        <w:rPr>
          <w:rFonts w:ascii="Arial" w:hAnsi="Arial" w:cs="Arial"/>
        </w:rPr>
      </w:pPr>
      <w:r w:rsidRPr="00E90C8A">
        <w:rPr>
          <w:rFonts w:ascii="Arial" w:hAnsi="Arial" w:cs="Arial"/>
        </w:rPr>
        <w:lastRenderedPageBreak/>
        <w:t xml:space="preserve">Each project will have a Project </w:t>
      </w:r>
      <w:r w:rsidR="00167F4D">
        <w:rPr>
          <w:rFonts w:ascii="Arial" w:hAnsi="Arial" w:cs="Arial"/>
        </w:rPr>
        <w:t>Manager</w:t>
      </w:r>
      <w:r w:rsidRPr="00E90C8A">
        <w:rPr>
          <w:rFonts w:ascii="Arial" w:hAnsi="Arial" w:cs="Arial"/>
        </w:rPr>
        <w:t xml:space="preserve"> who will plan materials, tools, and volunteers. </w:t>
      </w:r>
      <w:r w:rsidR="00167F4D">
        <w:rPr>
          <w:rFonts w:ascii="Arial" w:hAnsi="Arial" w:cs="Arial"/>
        </w:rPr>
        <w:t xml:space="preserve"> </w:t>
      </w:r>
      <w:r w:rsidRPr="00E90C8A">
        <w:rPr>
          <w:rFonts w:ascii="Arial" w:hAnsi="Arial" w:cs="Arial"/>
        </w:rPr>
        <w:t xml:space="preserve">The mini-blitz atmosphere </w:t>
      </w:r>
      <w:r w:rsidR="00780AB6">
        <w:rPr>
          <w:rFonts w:ascii="Arial" w:hAnsi="Arial" w:cs="Arial"/>
        </w:rPr>
        <w:t>will</w:t>
      </w:r>
      <w:r w:rsidRPr="00E90C8A">
        <w:rPr>
          <w:rFonts w:ascii="Arial" w:hAnsi="Arial" w:cs="Arial"/>
        </w:rPr>
        <w:t xml:space="preserve"> be tempered in order to keep the home livable for the family.</w:t>
      </w:r>
    </w:p>
    <w:p w14:paraId="7D39171A" w14:textId="77777777" w:rsidR="0045503F" w:rsidRDefault="0045503F" w:rsidP="00BD7ED5">
      <w:pPr>
        <w:pStyle w:val="ColorfulList-Accent11"/>
        <w:rPr>
          <w:rFonts w:ascii="Arial" w:hAnsi="Arial" w:cs="Arial"/>
        </w:rPr>
      </w:pPr>
    </w:p>
    <w:p w14:paraId="790C4AA7" w14:textId="74A87262" w:rsidR="001A4284" w:rsidRPr="00E90C8A" w:rsidRDefault="001A4284" w:rsidP="00167F4D">
      <w:pPr>
        <w:pStyle w:val="ColorfulList-Accent11"/>
        <w:numPr>
          <w:ilvl w:val="0"/>
          <w:numId w:val="5"/>
        </w:numPr>
        <w:jc w:val="both"/>
        <w:rPr>
          <w:rFonts w:ascii="Arial" w:hAnsi="Arial" w:cs="Arial"/>
        </w:rPr>
      </w:pPr>
      <w:r w:rsidRPr="00E90C8A">
        <w:rPr>
          <w:rFonts w:ascii="Arial" w:hAnsi="Arial" w:cs="Arial"/>
        </w:rPr>
        <w:t>The sweat equity work for the family will be planned in consideration of age and physical ability of the family.</w:t>
      </w:r>
    </w:p>
    <w:p w14:paraId="1484E180" w14:textId="77777777" w:rsidR="0045503F" w:rsidRDefault="0045503F" w:rsidP="00BD7ED5">
      <w:pPr>
        <w:pStyle w:val="ColorfulList-Accent11"/>
        <w:rPr>
          <w:rFonts w:ascii="Arial" w:hAnsi="Arial" w:cs="Arial"/>
        </w:rPr>
      </w:pPr>
    </w:p>
    <w:p w14:paraId="7097BFD7" w14:textId="6BEF6326" w:rsidR="001A4284" w:rsidRPr="00167F4D" w:rsidRDefault="001A4284" w:rsidP="00167F4D">
      <w:pPr>
        <w:pStyle w:val="ColorfulList-Accent11"/>
        <w:numPr>
          <w:ilvl w:val="0"/>
          <w:numId w:val="5"/>
        </w:numPr>
        <w:jc w:val="both"/>
        <w:rPr>
          <w:rFonts w:ascii="Arial" w:hAnsi="Arial" w:cs="Arial"/>
        </w:rPr>
      </w:pPr>
      <w:r w:rsidRPr="00E90C8A">
        <w:rPr>
          <w:rFonts w:ascii="Arial" w:hAnsi="Arial" w:cs="Arial"/>
        </w:rPr>
        <w:t xml:space="preserve">The Homeowner is required to make the work areas, as well as the property, generally safe for the workers prior to starting the work. </w:t>
      </w:r>
      <w:r w:rsidR="00167F4D">
        <w:rPr>
          <w:rFonts w:ascii="Arial" w:hAnsi="Arial" w:cs="Arial"/>
        </w:rPr>
        <w:t xml:space="preserve"> </w:t>
      </w:r>
      <w:r w:rsidRPr="00E90C8A">
        <w:rPr>
          <w:rFonts w:ascii="Arial" w:hAnsi="Arial" w:cs="Arial"/>
        </w:rPr>
        <w:t xml:space="preserve">The </w:t>
      </w:r>
      <w:r w:rsidR="00167F4D">
        <w:rPr>
          <w:rFonts w:ascii="Arial" w:hAnsi="Arial" w:cs="Arial"/>
        </w:rPr>
        <w:t>CRHFH</w:t>
      </w:r>
      <w:r w:rsidRPr="00E90C8A">
        <w:rPr>
          <w:rFonts w:ascii="Arial" w:hAnsi="Arial" w:cs="Arial"/>
        </w:rPr>
        <w:t xml:space="preserve"> recognizes some homeowners may be limited in assisting with property safety.  The </w:t>
      </w:r>
      <w:r w:rsidR="00167F4D">
        <w:rPr>
          <w:rFonts w:ascii="Arial" w:hAnsi="Arial" w:cs="Arial"/>
        </w:rPr>
        <w:t>Project Manager</w:t>
      </w:r>
      <w:r w:rsidRPr="00E90C8A">
        <w:rPr>
          <w:rFonts w:ascii="Arial" w:hAnsi="Arial" w:cs="Arial"/>
        </w:rPr>
        <w:t xml:space="preserve"> will work with the Homeowner to ensure safe work conditions</w:t>
      </w:r>
      <w:r w:rsidRPr="00167F4D">
        <w:rPr>
          <w:rFonts w:ascii="Arial" w:hAnsi="Arial" w:cs="Arial"/>
        </w:rPr>
        <w:t>.</w:t>
      </w:r>
    </w:p>
    <w:sectPr w:rsidR="001A4284" w:rsidRPr="00167F4D" w:rsidSect="001A4284">
      <w:headerReference w:type="default" r:id="rId7"/>
      <w:footerReference w:type="even" r:id="rId8"/>
      <w:footerReference w:type="default" r:id="rId9"/>
      <w:pgSz w:w="12240" w:h="15840"/>
      <w:pgMar w:top="1440" w:right="1440" w:bottom="1440" w:left="180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F401" w14:textId="77777777" w:rsidR="001970C8" w:rsidRDefault="001970C8">
      <w:r>
        <w:separator/>
      </w:r>
    </w:p>
  </w:endnote>
  <w:endnote w:type="continuationSeparator" w:id="0">
    <w:p w14:paraId="77E2159A" w14:textId="77777777" w:rsidR="001970C8" w:rsidRDefault="0019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0E54" w14:textId="77777777" w:rsidR="001A4284" w:rsidRDefault="001A4284" w:rsidP="001A42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395821" w14:textId="77777777" w:rsidR="001A4284" w:rsidRDefault="001A4284" w:rsidP="001A42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02C9" w14:textId="48301E66" w:rsidR="00BB17F9" w:rsidRPr="00BD7ED5" w:rsidRDefault="00BD7ED5" w:rsidP="00BB17F9">
    <w:pPr>
      <w:pStyle w:val="NormalWeb"/>
      <w:spacing w:before="0" w:beforeAutospacing="0" w:after="0" w:afterAutospacing="0" w:line="240" w:lineRule="auto"/>
      <w:jc w:val="center"/>
      <w:rPr>
        <w:rFonts w:ascii="Arial" w:hAnsi="Arial" w:cs="Arial"/>
        <w:b/>
        <w:sz w:val="21"/>
        <w:szCs w:val="21"/>
      </w:rPr>
    </w:pPr>
    <w:r w:rsidRPr="00BD7ED5">
      <w:rPr>
        <w:rFonts w:ascii="Arial" w:hAnsi="Arial" w:cs="Arial"/>
        <w:b/>
        <w:sz w:val="21"/>
        <w:szCs w:val="21"/>
      </w:rPr>
      <w:t>Capital Region</w:t>
    </w:r>
    <w:r w:rsidR="00BB17F9" w:rsidRPr="00BD7ED5">
      <w:rPr>
        <w:rFonts w:ascii="Arial" w:hAnsi="Arial" w:cs="Arial"/>
        <w:b/>
        <w:sz w:val="21"/>
        <w:szCs w:val="21"/>
      </w:rPr>
      <w:t xml:space="preserve"> Habitat for Humanity</w:t>
    </w:r>
  </w:p>
  <w:p w14:paraId="7957A644" w14:textId="4F625386" w:rsidR="00BB17F9" w:rsidRPr="00BD7ED5" w:rsidRDefault="00BB17F9" w:rsidP="00BB17F9">
    <w:pPr>
      <w:pStyle w:val="NormalWeb"/>
      <w:spacing w:before="0" w:beforeAutospacing="0" w:after="0" w:afterAutospacing="0" w:line="240" w:lineRule="auto"/>
      <w:jc w:val="center"/>
      <w:rPr>
        <w:rFonts w:ascii="Arial" w:hAnsi="Arial" w:cs="Arial"/>
        <w:sz w:val="21"/>
        <w:szCs w:val="21"/>
      </w:rPr>
    </w:pPr>
    <w:r w:rsidRPr="00BD7ED5">
      <w:rPr>
        <w:rFonts w:ascii="Arial" w:hAnsi="Arial" w:cs="Arial"/>
        <w:sz w:val="21"/>
        <w:szCs w:val="21"/>
      </w:rPr>
      <w:t xml:space="preserve">PO Box </w:t>
    </w:r>
    <w:r w:rsidR="00BD7ED5" w:rsidRPr="00BD7ED5">
      <w:rPr>
        <w:rFonts w:ascii="Arial" w:hAnsi="Arial" w:cs="Arial"/>
        <w:sz w:val="21"/>
        <w:szCs w:val="21"/>
      </w:rPr>
      <w:t>546</w:t>
    </w:r>
    <w:r w:rsidRPr="00BD7ED5">
      <w:rPr>
        <w:rFonts w:ascii="Arial" w:hAnsi="Arial" w:cs="Arial"/>
        <w:sz w:val="21"/>
        <w:szCs w:val="21"/>
      </w:rPr>
      <w:t xml:space="preserve">, </w:t>
    </w:r>
    <w:r w:rsidR="00BD7ED5" w:rsidRPr="00BD7ED5">
      <w:rPr>
        <w:rFonts w:ascii="Arial" w:hAnsi="Arial" w:cs="Arial"/>
        <w:sz w:val="21"/>
        <w:szCs w:val="21"/>
      </w:rPr>
      <w:t>Warner,</w:t>
    </w:r>
    <w:r w:rsidRPr="00BD7ED5">
      <w:rPr>
        <w:rFonts w:ascii="Arial" w:hAnsi="Arial" w:cs="Arial"/>
        <w:sz w:val="21"/>
        <w:szCs w:val="21"/>
      </w:rPr>
      <w:t xml:space="preserve"> New Hampshire 03</w:t>
    </w:r>
    <w:r w:rsidR="00BD7ED5" w:rsidRPr="00BD7ED5">
      <w:rPr>
        <w:rFonts w:ascii="Arial" w:hAnsi="Arial" w:cs="Arial"/>
        <w:sz w:val="21"/>
        <w:szCs w:val="21"/>
      </w:rPr>
      <w:t>278</w:t>
    </w:r>
  </w:p>
  <w:p w14:paraId="32928952" w14:textId="30F0F94B" w:rsidR="00BB17F9" w:rsidRPr="00BD7ED5" w:rsidRDefault="00BB17F9" w:rsidP="00BB17F9">
    <w:pPr>
      <w:pStyle w:val="NormalWeb"/>
      <w:spacing w:before="0" w:beforeAutospacing="0" w:after="0" w:afterAutospacing="0" w:line="240" w:lineRule="auto"/>
      <w:jc w:val="center"/>
      <w:rPr>
        <w:rFonts w:ascii="Arial" w:hAnsi="Arial" w:cs="Arial"/>
        <w:sz w:val="21"/>
        <w:szCs w:val="21"/>
      </w:rPr>
    </w:pPr>
    <w:r w:rsidRPr="00BD7ED5">
      <w:rPr>
        <w:rStyle w:val="Strong"/>
        <w:rFonts w:ascii="Arial" w:hAnsi="Arial" w:cs="Arial"/>
        <w:sz w:val="21"/>
        <w:szCs w:val="21"/>
      </w:rPr>
      <w:t>Phone: 1-603-</w:t>
    </w:r>
    <w:r w:rsidR="00BD7ED5" w:rsidRPr="00BD7ED5">
      <w:rPr>
        <w:rStyle w:val="Strong"/>
        <w:rFonts w:ascii="Arial" w:hAnsi="Arial" w:cs="Arial"/>
        <w:sz w:val="21"/>
        <w:szCs w:val="21"/>
      </w:rPr>
      <w:t>242-2718</w:t>
    </w:r>
  </w:p>
  <w:p w14:paraId="3AAAEA21" w14:textId="4A56B5FA" w:rsidR="00BB17F9" w:rsidRPr="00BD7ED5" w:rsidRDefault="00BB17F9" w:rsidP="00BB17F9">
    <w:pPr>
      <w:pStyle w:val="NormalWeb"/>
      <w:spacing w:before="0" w:beforeAutospacing="0" w:after="0" w:afterAutospacing="0" w:line="240" w:lineRule="auto"/>
      <w:jc w:val="center"/>
      <w:rPr>
        <w:rFonts w:ascii="Arial" w:hAnsi="Arial" w:cs="Arial"/>
        <w:sz w:val="21"/>
        <w:szCs w:val="21"/>
        <w:u w:val="single"/>
      </w:rPr>
    </w:pPr>
    <w:r w:rsidRPr="00BD7ED5">
      <w:rPr>
        <w:rFonts w:ascii="Arial" w:hAnsi="Arial" w:cs="Arial"/>
        <w:sz w:val="21"/>
        <w:szCs w:val="21"/>
      </w:rPr>
      <w:t xml:space="preserve">Web site: </w:t>
    </w:r>
    <w:r w:rsidR="00BD7ED5" w:rsidRPr="00BD7ED5">
      <w:rPr>
        <w:rFonts w:ascii="Arial" w:hAnsi="Arial" w:cs="Arial"/>
        <w:sz w:val="21"/>
        <w:szCs w:val="21"/>
        <w:u w:val="single"/>
      </w:rPr>
      <w:t>habitatconcordnh</w:t>
    </w:r>
    <w:r w:rsidRPr="00BD7ED5">
      <w:rPr>
        <w:rFonts w:ascii="Arial" w:hAnsi="Arial" w:cs="Arial"/>
        <w:sz w:val="21"/>
        <w:szCs w:val="21"/>
        <w:u w:val="single"/>
      </w:rPr>
      <w:t>.org</w:t>
    </w:r>
  </w:p>
  <w:p w14:paraId="49E4B793" w14:textId="58781B44" w:rsidR="00437201" w:rsidRPr="00BD7ED5" w:rsidRDefault="00BB17F9" w:rsidP="00BB17F9">
    <w:pPr>
      <w:pStyle w:val="NormalWeb"/>
      <w:spacing w:before="0" w:beforeAutospacing="0" w:after="0" w:afterAutospacing="0" w:line="240" w:lineRule="auto"/>
      <w:jc w:val="center"/>
      <w:rPr>
        <w:rFonts w:ascii="Arial" w:hAnsi="Arial" w:cs="Arial"/>
        <w:sz w:val="21"/>
        <w:szCs w:val="21"/>
      </w:rPr>
    </w:pPr>
    <w:r w:rsidRPr="00BD7ED5">
      <w:rPr>
        <w:rStyle w:val="Strong"/>
        <w:rFonts w:ascii="Arial" w:hAnsi="Arial" w:cs="Arial"/>
        <w:sz w:val="21"/>
        <w:szCs w:val="21"/>
      </w:rPr>
      <w:t>Email:</w:t>
    </w:r>
    <w:r w:rsidR="00BD7ED5" w:rsidRPr="00BD7ED5">
      <w:rPr>
        <w:rFonts w:ascii="Arial" w:hAnsi="Arial" w:cs="Arial"/>
        <w:sz w:val="21"/>
        <w:szCs w:val="21"/>
      </w:rPr>
      <w:t xml:space="preserve"> crhfh@habitatconcordnh.org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5325" w14:textId="77777777" w:rsidR="001970C8" w:rsidRDefault="001970C8">
      <w:r>
        <w:separator/>
      </w:r>
    </w:p>
  </w:footnote>
  <w:footnote w:type="continuationSeparator" w:id="0">
    <w:p w14:paraId="5556442C" w14:textId="77777777" w:rsidR="001970C8" w:rsidRDefault="00197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7E16" w14:textId="6BF5768F" w:rsidR="00437201" w:rsidRPr="002D24F9" w:rsidRDefault="00E90C8A" w:rsidP="00E90C8A">
    <w:pPr>
      <w:ind w:left="-1296" w:firstLine="720"/>
      <w:outlineLvl w:val="0"/>
      <w:rPr>
        <w:rFonts w:ascii="Arial" w:hAnsi="Arial" w:cs="Arial"/>
        <w:b/>
        <w:color w:val="484F5E"/>
        <w:kern w:val="2"/>
        <w:sz w:val="32"/>
        <w:szCs w:val="32"/>
      </w:rPr>
    </w:pPr>
    <w:r w:rsidRPr="002D24F9">
      <w:rPr>
        <w:rFonts w:ascii="Arial" w:hAnsi="Arial" w:cs="Arial"/>
        <w:noProof/>
        <w:sz w:val="32"/>
        <w:szCs w:val="32"/>
      </w:rPr>
      <w:drawing>
        <wp:inline distT="0" distB="0" distL="0" distR="0" wp14:anchorId="23E4CD66" wp14:editId="1BA88019">
          <wp:extent cx="1763776" cy="821814"/>
          <wp:effectExtent l="0" t="0" r="1905" b="381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7622" cy="842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D24F9">
      <w:rPr>
        <w:rFonts w:ascii="Arial" w:hAnsi="Arial" w:cs="Arial"/>
        <w:b/>
        <w:color w:val="484F5E"/>
        <w:kern w:val="2"/>
        <w:sz w:val="32"/>
        <w:szCs w:val="32"/>
      </w:rPr>
      <w:t xml:space="preserve">   Repair Program</w:t>
    </w:r>
    <w:r w:rsidR="00437201" w:rsidRPr="002D24F9">
      <w:rPr>
        <w:rFonts w:ascii="Arial" w:hAnsi="Arial" w:cs="Arial"/>
        <w:b/>
        <w:color w:val="484F5E"/>
        <w:kern w:val="2"/>
        <w:sz w:val="32"/>
        <w:szCs w:val="32"/>
      </w:rPr>
      <w:t xml:space="preserve"> Guideline Summary</w:t>
    </w:r>
  </w:p>
  <w:p w14:paraId="7876E383" w14:textId="77777777" w:rsidR="00437201" w:rsidRDefault="004372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3391"/>
    <w:multiLevelType w:val="hybridMultilevel"/>
    <w:tmpl w:val="19F0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54BD0"/>
    <w:multiLevelType w:val="hybridMultilevel"/>
    <w:tmpl w:val="ADD41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41E49"/>
    <w:multiLevelType w:val="hybridMultilevel"/>
    <w:tmpl w:val="27C62266"/>
    <w:lvl w:ilvl="0" w:tplc="9970D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3D7151"/>
    <w:multiLevelType w:val="hybridMultilevel"/>
    <w:tmpl w:val="BE66E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60559"/>
    <w:multiLevelType w:val="hybridMultilevel"/>
    <w:tmpl w:val="CF465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1799950">
    <w:abstractNumId w:val="1"/>
  </w:num>
  <w:num w:numId="2" w16cid:durableId="1155300381">
    <w:abstractNumId w:val="3"/>
  </w:num>
  <w:num w:numId="3" w16cid:durableId="1141465248">
    <w:abstractNumId w:val="2"/>
  </w:num>
  <w:num w:numId="4" w16cid:durableId="438793877">
    <w:abstractNumId w:val="4"/>
  </w:num>
  <w:num w:numId="5" w16cid:durableId="2057387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46"/>
    <w:rsid w:val="000757AE"/>
    <w:rsid w:val="0010629E"/>
    <w:rsid w:val="00167F4D"/>
    <w:rsid w:val="001970C8"/>
    <w:rsid w:val="001A4284"/>
    <w:rsid w:val="001C2E42"/>
    <w:rsid w:val="00290A05"/>
    <w:rsid w:val="002D24F9"/>
    <w:rsid w:val="00437201"/>
    <w:rsid w:val="0045503F"/>
    <w:rsid w:val="00483CBE"/>
    <w:rsid w:val="00554738"/>
    <w:rsid w:val="00605D46"/>
    <w:rsid w:val="006415E2"/>
    <w:rsid w:val="006B12AA"/>
    <w:rsid w:val="00702CE8"/>
    <w:rsid w:val="00780AB6"/>
    <w:rsid w:val="00962599"/>
    <w:rsid w:val="00967A08"/>
    <w:rsid w:val="00A22560"/>
    <w:rsid w:val="00AF148E"/>
    <w:rsid w:val="00BB17F9"/>
    <w:rsid w:val="00BD7ED5"/>
    <w:rsid w:val="00CF6C25"/>
    <w:rsid w:val="00D82FEF"/>
    <w:rsid w:val="00E9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787413"/>
  <w15:chartTrackingRefBased/>
  <w15:docId w15:val="{CBB4C58F-A152-FC41-B823-55B24FA9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F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201"/>
    <w:pPr>
      <w:widowControl w:val="0"/>
      <w:autoSpaceDE w:val="0"/>
      <w:autoSpaceDN w:val="0"/>
      <w:adjustRightInd w:val="0"/>
      <w:spacing w:after="200" w:line="720" w:lineRule="atLeast"/>
      <w:outlineLvl w:val="0"/>
    </w:pPr>
    <w:rPr>
      <w:rFonts w:ascii="Times New Roman" w:eastAsia="MS Mincho" w:hAnsi="Times New Roman"/>
      <w:color w:val="000000"/>
      <w:sz w:val="66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605D46"/>
    <w:pPr>
      <w:ind w:left="720"/>
      <w:contextualSpacing/>
    </w:pPr>
  </w:style>
  <w:style w:type="table" w:styleId="TableGrid">
    <w:name w:val="Table Grid"/>
    <w:basedOn w:val="TableNormal"/>
    <w:rsid w:val="00077E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rsid w:val="00932D7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32D70"/>
    <w:rPr>
      <w:sz w:val="24"/>
      <w:szCs w:val="24"/>
    </w:rPr>
  </w:style>
  <w:style w:type="character" w:styleId="PageNumber">
    <w:name w:val="page number"/>
    <w:basedOn w:val="DefaultParagraphFont"/>
    <w:rsid w:val="00932D70"/>
  </w:style>
  <w:style w:type="paragraph" w:styleId="Header">
    <w:name w:val="header"/>
    <w:basedOn w:val="Normal"/>
    <w:link w:val="HeaderChar"/>
    <w:rsid w:val="0088646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86464"/>
    <w:rPr>
      <w:sz w:val="24"/>
      <w:szCs w:val="24"/>
    </w:rPr>
  </w:style>
  <w:style w:type="paragraph" w:styleId="BalloonText">
    <w:name w:val="Balloon Text"/>
    <w:basedOn w:val="Normal"/>
    <w:link w:val="BalloonTextChar"/>
    <w:rsid w:val="00ED59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D59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437201"/>
    <w:rPr>
      <w:rFonts w:ascii="Times New Roman" w:eastAsia="MS Mincho" w:hAnsi="Times New Roman"/>
      <w:color w:val="000000"/>
      <w:sz w:val="66"/>
      <w:szCs w:val="78"/>
    </w:rPr>
  </w:style>
  <w:style w:type="character" w:styleId="Hyperlink">
    <w:name w:val="Hyperlink"/>
    <w:uiPriority w:val="99"/>
    <w:unhideWhenUsed/>
    <w:qFormat/>
    <w:rsid w:val="004372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437201"/>
    <w:pPr>
      <w:spacing w:before="100" w:beforeAutospacing="1" w:after="100" w:afterAutospacing="1" w:line="360" w:lineRule="auto"/>
    </w:pPr>
    <w:rPr>
      <w:rFonts w:ascii="Times New Roman" w:eastAsia="MS Mincho" w:hAnsi="Times New Roman"/>
    </w:rPr>
  </w:style>
  <w:style w:type="character" w:styleId="Strong">
    <w:name w:val="Strong"/>
    <w:uiPriority w:val="22"/>
    <w:qFormat/>
    <w:rsid w:val="00437201"/>
    <w:rPr>
      <w:b/>
      <w:bCs/>
    </w:rPr>
  </w:style>
  <w:style w:type="character" w:styleId="UnresolvedMention">
    <w:name w:val="Unresolved Mention"/>
    <w:uiPriority w:val="99"/>
    <w:semiHidden/>
    <w:unhideWhenUsed/>
    <w:rsid w:val="004372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5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Monadnock Habitat for Humanity</vt:lpstr>
    </vt:vector>
  </TitlesOfParts>
  <Company>University of Massachusetts-Amherst</Company>
  <LinksUpToDate>false</LinksUpToDate>
  <CharactersWithSpaces>4132</CharactersWithSpaces>
  <SharedDoc>false</SharedDoc>
  <HLinks>
    <vt:vector size="6" baseType="variant">
      <vt:variant>
        <vt:i4>7143498</vt:i4>
      </vt:variant>
      <vt:variant>
        <vt:i4>2</vt:i4>
      </vt:variant>
      <vt:variant>
        <vt:i4>0</vt:i4>
      </vt:variant>
      <vt:variant>
        <vt:i4>5</vt:i4>
      </vt:variant>
      <vt:variant>
        <vt:lpwstr>mailto:monadnockhabitat@gmail.com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Monadnock Habitat for Humanity</dc:title>
  <dc:subject/>
  <dc:creator>Patsy Beffa-Negrini</dc:creator>
  <cp:keywords/>
  <cp:lastModifiedBy>Mark Tierney</cp:lastModifiedBy>
  <cp:revision>3</cp:revision>
  <cp:lastPrinted>2023-03-10T15:27:00Z</cp:lastPrinted>
  <dcterms:created xsi:type="dcterms:W3CDTF">2023-03-12T16:15:00Z</dcterms:created>
  <dcterms:modified xsi:type="dcterms:W3CDTF">2023-03-12T16:19:00Z</dcterms:modified>
</cp:coreProperties>
</file>